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3BF07155" w:rsidR="00011508" w:rsidRPr="00C51419" w:rsidRDefault="007C4332" w:rsidP="00011508">
      <w:pPr>
        <w:rPr>
          <w:rFonts w:ascii="Calibri" w:hAnsi="Calibri" w:cs="Calibri"/>
          <w:b/>
          <w:smallCaps/>
          <w:sz w:val="24"/>
          <w:szCs w:val="24"/>
        </w:rPr>
      </w:pPr>
      <w:r>
        <w:rPr>
          <w:noProof/>
        </w:rPr>
        <w:drawing>
          <wp:inline distT="0" distB="0" distL="0" distR="0" wp14:anchorId="4462C7A0" wp14:editId="51228E5E">
            <wp:extent cx="5759450" cy="14211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421130"/>
                    </a:xfrm>
                    <a:prstGeom prst="rect">
                      <a:avLst/>
                    </a:prstGeom>
                  </pic:spPr>
                </pic:pic>
              </a:graphicData>
            </a:graphic>
          </wp:inline>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4656C2D7" w14:textId="719B518A" w:rsidR="00011508" w:rsidRDefault="00405F98" w:rsidP="007C4332">
      <w:pPr>
        <w:jc w:val="center"/>
        <w:rPr>
          <w:rFonts w:ascii="Calibri" w:hAnsi="Calibri" w:cs="Calibri"/>
          <w:b/>
          <w:smallCaps/>
          <w:sz w:val="40"/>
          <w:szCs w:val="40"/>
        </w:rPr>
      </w:pPr>
      <w:r>
        <w:rPr>
          <w:rFonts w:ascii="Calibri" w:hAnsi="Calibri" w:cs="Calibri"/>
          <w:b/>
          <w:smallCaps/>
          <w:sz w:val="40"/>
          <w:szCs w:val="40"/>
        </w:rPr>
        <w:t>Volet</w:t>
      </w:r>
      <w:r w:rsidR="00011508">
        <w:rPr>
          <w:rFonts w:ascii="Calibri" w:hAnsi="Calibri" w:cs="Calibri"/>
          <w:b/>
          <w:smallCaps/>
          <w:sz w:val="40"/>
          <w:szCs w:val="40"/>
        </w:rPr>
        <w:t xml:space="preserve"> Technique</w:t>
      </w:r>
      <w:r w:rsidR="00011508" w:rsidRPr="00011508">
        <w:rPr>
          <w:rFonts w:ascii="Calibri" w:hAnsi="Calibri" w:cs="Calibri"/>
          <w:b/>
          <w:smallCaps/>
          <w:sz w:val="40"/>
          <w:szCs w:val="40"/>
        </w:rPr>
        <w:t> </w:t>
      </w:r>
      <w:r w:rsidR="0084163F">
        <w:rPr>
          <w:rFonts w:ascii="Calibri" w:hAnsi="Calibri" w:cs="Calibri"/>
          <w:b/>
          <w:smallCaps/>
          <w:sz w:val="40"/>
          <w:szCs w:val="40"/>
        </w:rPr>
        <w:t>de demande d’aide</w:t>
      </w:r>
      <w:r w:rsidR="00011508">
        <w:rPr>
          <w:rFonts w:ascii="Calibri" w:hAnsi="Calibri" w:cs="Calibri"/>
          <w:b/>
          <w:smallCaps/>
          <w:sz w:val="40"/>
          <w:szCs w:val="40"/>
        </w:rPr>
        <w:t xml:space="preserve"> </w:t>
      </w:r>
      <w:r w:rsidR="007C4332">
        <w:rPr>
          <w:rFonts w:ascii="Calibri" w:hAnsi="Calibri" w:cs="Calibri"/>
          <w:b/>
          <w:smallCaps/>
          <w:sz w:val="40"/>
          <w:szCs w:val="40"/>
        </w:rPr>
        <w:t>dans le cadre de l’AAIP Economie Circulaire 2020</w:t>
      </w:r>
    </w:p>
    <w:p w14:paraId="7EEFEBF9" w14:textId="77777777" w:rsidR="009D30E4" w:rsidRDefault="009D30E4" w:rsidP="00011508">
      <w:pPr>
        <w:ind w:left="1134"/>
        <w:jc w:val="center"/>
        <w:rPr>
          <w:rFonts w:ascii="Calibri" w:hAnsi="Calibri" w:cs="Calibri"/>
          <w:b/>
          <w:smallCaps/>
          <w:sz w:val="40"/>
          <w:szCs w:val="40"/>
        </w:rPr>
      </w:pPr>
    </w:p>
    <w:p w14:paraId="73571D1F" w14:textId="229D59B9" w:rsidR="00CC4AD1" w:rsidRPr="00CC4AD1" w:rsidRDefault="00CC4AD1" w:rsidP="005C576D">
      <w:pPr>
        <w:pBdr>
          <w:top w:val="single" w:sz="4" w:space="1" w:color="auto"/>
          <w:left w:val="single" w:sz="4" w:space="4" w:color="auto"/>
          <w:bottom w:val="single" w:sz="4" w:space="1" w:color="auto"/>
          <w:right w:val="single" w:sz="4" w:space="4" w:color="auto"/>
        </w:pBdr>
        <w:shd w:val="clear" w:color="auto" w:fill="000000"/>
        <w:spacing w:before="120" w:after="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7C4332">
        <w:rPr>
          <w:rFonts w:cs="Calibri"/>
          <w:i/>
          <w:color w:val="FFFFFF"/>
          <w:sz w:val="24"/>
          <w:szCs w:val="24"/>
        </w:rPr>
      </w:r>
      <w:r w:rsidR="007C4332">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sidR="00405F98" w:rsidRPr="00405F98">
        <w:rPr>
          <w:rFonts w:cs="Calibri"/>
          <w:color w:val="FFFFFF"/>
          <w:szCs w:val="22"/>
        </w:rPr>
        <w:t>Volet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7C4332">
        <w:rPr>
          <w:rFonts w:cs="Calibri"/>
          <w:i/>
          <w:color w:val="FFFFFF"/>
          <w:sz w:val="24"/>
          <w:szCs w:val="24"/>
          <w:u w:val="single"/>
        </w:rPr>
      </w:r>
      <w:r w:rsidR="007C4332">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sidR="00405F98">
        <w:rPr>
          <w:rFonts w:cs="Calibri"/>
          <w:color w:val="FFFFFF"/>
          <w:szCs w:val="22"/>
          <w:u w:val="single"/>
        </w:rPr>
        <w:t xml:space="preserve">Volet </w:t>
      </w:r>
      <w:r w:rsidRPr="00CC4AD1">
        <w:rPr>
          <w:rFonts w:cs="Calibri"/>
          <w:color w:val="FFFFFF"/>
          <w:szCs w:val="22"/>
          <w:u w:val="single"/>
        </w:rPr>
        <w:t>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7C4332">
        <w:rPr>
          <w:rFonts w:cs="Calibri"/>
          <w:i/>
          <w:color w:val="FFFFFF"/>
          <w:szCs w:val="22"/>
          <w:u w:val="single"/>
        </w:rPr>
      </w:r>
      <w:r w:rsidR="007C4332">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sidR="00405F98">
        <w:rPr>
          <w:rFonts w:cs="Calibri"/>
          <w:color w:val="FFFFFF"/>
          <w:szCs w:val="22"/>
        </w:rPr>
        <w:t>Volet</w:t>
      </w:r>
      <w:r w:rsidRPr="00CC4AD1">
        <w:rPr>
          <w:rFonts w:cs="Calibri"/>
          <w:color w:val="FFFFFF"/>
          <w:szCs w:val="22"/>
        </w:rPr>
        <w:t xml:space="preserve"> financier</w:t>
      </w:r>
    </w:p>
    <w:p w14:paraId="23F5D89C" w14:textId="01AA34E2" w:rsidR="005C576D" w:rsidRDefault="005C576D" w:rsidP="009D30E4">
      <w:pPr>
        <w:pBdr>
          <w:top w:val="single" w:sz="4" w:space="1" w:color="auto"/>
          <w:left w:val="single" w:sz="4" w:space="4" w:color="auto"/>
          <w:bottom w:val="single" w:sz="4" w:space="1" w:color="auto"/>
          <w:right w:val="single" w:sz="4" w:space="4" w:color="auto"/>
        </w:pBdr>
        <w:spacing w:line="360" w:lineRule="auto"/>
        <w:rPr>
          <w:b/>
          <w:smallCaps/>
          <w:sz w:val="14"/>
          <w:szCs w:val="14"/>
        </w:rPr>
      </w:pPr>
    </w:p>
    <w:p w14:paraId="097D96AA" w14:textId="6FBC4026" w:rsidR="00011508" w:rsidRPr="00CC4AD1"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CC4AD1">
        <w:rPr>
          <w:b/>
          <w:smallCaps/>
          <w:sz w:val="14"/>
          <w:szCs w:val="14"/>
        </w:rPr>
        <w:t>LES AIDES DE L’ADEME NE CONSTITUENT PAS UN DROIT DE DELIVRANCE ET N’ONT PAS DE CARACTERE SYSTEMATIQUE</w:t>
      </w:r>
    </w:p>
    <w:p w14:paraId="3209A218" w14:textId="2E080FEA" w:rsidR="009C4016" w:rsidRDefault="009C4016" w:rsidP="00011508">
      <w:pPr>
        <w:spacing w:line="360" w:lineRule="auto"/>
        <w:rPr>
          <w:rFonts w:ascii="Calibri" w:hAnsi="Calibri" w:cs="Calibri"/>
          <w:b/>
          <w:smallCaps/>
          <w:sz w:val="20"/>
        </w:rPr>
      </w:pPr>
    </w:p>
    <w:p w14:paraId="496ADD2E" w14:textId="0597F835" w:rsidR="00A1616C" w:rsidRPr="00CC4AD1" w:rsidRDefault="00A1616C" w:rsidP="00A1616C">
      <w:pPr>
        <w:shd w:val="clear" w:color="auto" w:fill="BFBFBF" w:themeFill="background1" w:themeFillShade="BF"/>
        <w:rPr>
          <w:b/>
          <w:i/>
          <w:sz w:val="18"/>
          <w:szCs w:val="18"/>
        </w:rPr>
      </w:pPr>
      <w:r w:rsidRPr="00CC4AD1">
        <w:rPr>
          <w:b/>
          <w:i/>
          <w:sz w:val="18"/>
          <w:szCs w:val="18"/>
        </w:rPr>
        <w:t>Dans ce document, les parties grisées et en italique précisent les attendus pour les paragraphes concernés.</w:t>
      </w:r>
    </w:p>
    <w:p w14:paraId="1AD940F3" w14:textId="20A3786C" w:rsidR="00A1616C" w:rsidRDefault="00A1616C" w:rsidP="00011508">
      <w:pPr>
        <w:spacing w:line="360" w:lineRule="auto"/>
        <w:rPr>
          <w:rFonts w:ascii="Calibri" w:hAnsi="Calibri" w:cs="Calibri"/>
          <w:b/>
          <w:smallCaps/>
          <w:sz w:val="20"/>
        </w:rPr>
      </w:pPr>
    </w:p>
    <w:p w14:paraId="04C798B1" w14:textId="0E75FC02" w:rsidR="00BB41CE" w:rsidRPr="000D7CA9" w:rsidRDefault="00BB41CE" w:rsidP="00BB41CE">
      <w:pPr>
        <w:rPr>
          <w:b/>
          <w:smallCaps/>
          <w:szCs w:val="22"/>
        </w:rPr>
      </w:pPr>
      <w:r w:rsidRPr="000D7CA9">
        <w:rPr>
          <w:b/>
          <w:smallCaps/>
          <w:szCs w:val="22"/>
        </w:rPr>
        <w:t xml:space="preserve">Le document ci-joint constitue le volet technique du dossier de demande d’aide à remplir par le porteur d’un projet </w:t>
      </w:r>
    </w:p>
    <w:p w14:paraId="7B9693A9" w14:textId="3F80A9C1" w:rsidR="00C012EB" w:rsidRPr="00CC4AD1" w:rsidRDefault="00C012EB" w:rsidP="00C012EB">
      <w:pPr>
        <w:jc w:val="left"/>
        <w:rPr>
          <w:szCs w:val="22"/>
        </w:rPr>
      </w:pPr>
    </w:p>
    <w:p w14:paraId="6E923626" w14:textId="26199641" w:rsidR="00EF74FD" w:rsidRDefault="00EF74FD" w:rsidP="00C012EB">
      <w:pPr>
        <w:jc w:val="left"/>
        <w:rPr>
          <w:szCs w:val="22"/>
        </w:rPr>
      </w:pPr>
    </w:p>
    <w:p w14:paraId="3EA5F2C3" w14:textId="77777777" w:rsidR="00EF74FD" w:rsidRPr="00CC4AD1" w:rsidRDefault="00EF74FD" w:rsidP="00C012EB">
      <w:pPr>
        <w:jc w:val="left"/>
        <w:rPr>
          <w:szCs w:val="22"/>
        </w:rPr>
      </w:pPr>
    </w:p>
    <w:p w14:paraId="0E030652" w14:textId="77777777" w:rsidR="00011508" w:rsidRPr="00CC4AD1" w:rsidRDefault="00011508" w:rsidP="00011508">
      <w:pPr>
        <w:jc w:val="left"/>
        <w:rPr>
          <w:szCs w:val="22"/>
        </w:rPr>
      </w:pPr>
    </w:p>
    <w:p w14:paraId="5DAC2B34" w14:textId="7D6D5C56" w:rsidR="00011508" w:rsidRPr="00CC4AD1" w:rsidRDefault="00B61890" w:rsidP="00CC4AD1">
      <w:pPr>
        <w:rPr>
          <w:szCs w:val="22"/>
        </w:rPr>
      </w:pPr>
      <w:r w:rsidRPr="00CC4AD1">
        <w:rPr>
          <w:szCs w:val="22"/>
        </w:rPr>
        <w:t>Il es</w:t>
      </w:r>
      <w:r w:rsidR="00C06695" w:rsidRPr="00CC4AD1">
        <w:rPr>
          <w:szCs w:val="22"/>
        </w:rPr>
        <w:t>t</w:t>
      </w:r>
      <w:r w:rsidRPr="00CC4AD1">
        <w:rPr>
          <w:szCs w:val="22"/>
        </w:rPr>
        <w:t xml:space="preserve"> impératif de rendre ce dossier complété au </w:t>
      </w:r>
      <w:r w:rsidRPr="007C4332">
        <w:rPr>
          <w:b/>
          <w:szCs w:val="22"/>
        </w:rPr>
        <w:t xml:space="preserve">format </w:t>
      </w:r>
      <w:r w:rsidR="00C012EB" w:rsidRPr="007C4332">
        <w:rPr>
          <w:b/>
          <w:szCs w:val="22"/>
        </w:rPr>
        <w:t>texte modifiable</w:t>
      </w:r>
      <w:r w:rsidR="00C012EB" w:rsidRPr="00CC4AD1">
        <w:rPr>
          <w:szCs w:val="22"/>
        </w:rPr>
        <w:t xml:space="preserve"> (type </w:t>
      </w:r>
      <w:proofErr w:type="spellStart"/>
      <w:r w:rsidR="00C012EB" w:rsidRPr="00CC4AD1">
        <w:rPr>
          <w:szCs w:val="22"/>
        </w:rPr>
        <w:t>word</w:t>
      </w:r>
      <w:proofErr w:type="spellEnd"/>
      <w:r w:rsidR="00C012EB" w:rsidRPr="00CC4AD1">
        <w:rPr>
          <w:szCs w:val="22"/>
        </w:rPr>
        <w:t>)</w:t>
      </w:r>
      <w:r w:rsidRPr="00CC4AD1">
        <w:rPr>
          <w:szCs w:val="22"/>
        </w:rPr>
        <w:t>.</w:t>
      </w:r>
    </w:p>
    <w:p w14:paraId="4DD0FBEE" w14:textId="77777777" w:rsidR="00C06695" w:rsidRPr="00CC4AD1" w:rsidRDefault="00C06695" w:rsidP="00CC4AD1">
      <w:pPr>
        <w:rPr>
          <w:szCs w:val="22"/>
        </w:rPr>
      </w:pPr>
    </w:p>
    <w:p w14:paraId="325CA168" w14:textId="77777777" w:rsidR="00B61890" w:rsidRPr="00CC4AD1" w:rsidRDefault="00B61890" w:rsidP="00CC4AD1">
      <w:pPr>
        <w:rPr>
          <w:smallCaps/>
          <w:szCs w:val="22"/>
        </w:rPr>
      </w:pPr>
    </w:p>
    <w:p w14:paraId="79745FD3" w14:textId="18084B80" w:rsidR="00011508" w:rsidRPr="00CC4AD1" w:rsidRDefault="00011508" w:rsidP="00011508">
      <w:pPr>
        <w:ind w:left="993"/>
        <w:jc w:val="left"/>
        <w:rPr>
          <w:b/>
          <w:smallCaps/>
          <w:szCs w:val="22"/>
        </w:rPr>
      </w:pPr>
    </w:p>
    <w:p w14:paraId="71A76173" w14:textId="0FEE6537" w:rsidR="009D30E4" w:rsidRDefault="009D30E4" w:rsidP="009D30E4">
      <w:pPr>
        <w:ind w:left="993"/>
        <w:jc w:val="left"/>
        <w:rPr>
          <w:rFonts w:ascii="Calibri" w:hAnsi="Calibri" w:cs="Calibri"/>
          <w:b/>
          <w:smallCaps/>
          <w:sz w:val="24"/>
          <w:szCs w:val="24"/>
        </w:rPr>
      </w:pPr>
    </w:p>
    <w:p w14:paraId="3D525AEF" w14:textId="77777777" w:rsidR="009D30E4" w:rsidRDefault="009D30E4" w:rsidP="009D30E4">
      <w:pPr>
        <w:rPr>
          <w:rFonts w:ascii="Calibri" w:hAnsi="Calibri" w:cs="Calibri"/>
          <w:b/>
          <w:smallCaps/>
          <w:sz w:val="24"/>
          <w:szCs w:val="24"/>
        </w:rPr>
      </w:pPr>
      <w:r>
        <w:rPr>
          <w:b/>
          <w:smallCaps/>
          <w:szCs w:val="22"/>
        </w:rPr>
        <w:t xml:space="preserve">! Pour rappel, le dossier de demande d’aide complet comprend 3 volets : le volet administratif, le volet financier et le volet technique. </w:t>
      </w:r>
      <w:r>
        <w:rPr>
          <w:bCs/>
          <w:smallCaps/>
          <w:szCs w:val="22"/>
        </w:rPr>
        <w:t>Le dossier est considéré comme complet après réception des 3 volets complétés par vos soins</w:t>
      </w:r>
      <w:r>
        <w:rPr>
          <w:b/>
          <w:smallCaps/>
          <w:szCs w:val="22"/>
        </w:rPr>
        <w:t> !</w:t>
      </w:r>
    </w:p>
    <w:p w14:paraId="5FA3777E" w14:textId="159287B4" w:rsidR="00802663" w:rsidRDefault="00802663">
      <w:pPr>
        <w:spacing w:after="200" w:line="276" w:lineRule="auto"/>
        <w:jc w:val="left"/>
        <w:rPr>
          <w:rFonts w:ascii="Calibri" w:eastAsia="Calibri" w:hAnsi="Calibri" w:cs="Calibri"/>
          <w:bCs/>
          <w:smallCaps/>
          <w:kern w:val="0"/>
          <w:sz w:val="32"/>
          <w:szCs w:val="22"/>
          <w:lang w:eastAsia="en-US"/>
        </w:rPr>
      </w:pPr>
    </w:p>
    <w:p w14:paraId="29BB5C3A" w14:textId="4A238075" w:rsidR="0087780B" w:rsidRDefault="0087780B">
      <w:pPr>
        <w:spacing w:after="200" w:line="276" w:lineRule="auto"/>
        <w:jc w:val="left"/>
        <w:rPr>
          <w:rFonts w:ascii="Calibri" w:eastAsia="Calibri" w:hAnsi="Calibri" w:cs="Calibri"/>
          <w:b/>
          <w:bCs/>
          <w:smallCaps/>
          <w:kern w:val="0"/>
          <w:sz w:val="32"/>
          <w:szCs w:val="22"/>
          <w:lang w:eastAsia="en-US"/>
        </w:rPr>
      </w:pPr>
    </w:p>
    <w:p w14:paraId="3F24B857" w14:textId="02E4AEFC" w:rsidR="00E45DCC" w:rsidRPr="006A212D" w:rsidRDefault="00643D0A" w:rsidP="00773034">
      <w:pPr>
        <w:pStyle w:val="Titre1"/>
        <w:pageBreakBefore/>
        <w:ind w:left="284" w:hanging="284"/>
      </w:pPr>
      <w:bookmarkStart w:id="1" w:name="_Toc526500932"/>
      <w:r>
        <w:lastRenderedPageBreak/>
        <w:t>Intitulé</w:t>
      </w:r>
      <w:r w:rsidR="00E45DCC" w:rsidRPr="006A212D">
        <w:t xml:space="preserve"> de l’opération</w:t>
      </w:r>
      <w:bookmarkEnd w:id="1"/>
    </w:p>
    <w:p w14:paraId="38AE4C3A" w14:textId="46AA545A" w:rsidR="00E45DCC" w:rsidRDefault="00E45DCC" w:rsidP="00E45DCC">
      <w:pPr>
        <w:pStyle w:val="Titre2"/>
        <w:rPr>
          <w:lang w:eastAsia="en-US"/>
        </w:rPr>
      </w:pPr>
      <w:bookmarkStart w:id="2" w:name="_Toc518918033"/>
      <w:bookmarkStart w:id="3" w:name="_Toc526500933"/>
      <w:r>
        <w:rPr>
          <w:lang w:eastAsia="en-US"/>
        </w:rPr>
        <w:t>Synthèse du projet (15 lignes max)</w:t>
      </w:r>
      <w:bookmarkEnd w:id="2"/>
      <w:bookmarkEnd w:id="3"/>
    </w:p>
    <w:p w14:paraId="0F72ED45" w14:textId="658A324C" w:rsidR="00626860" w:rsidRPr="00626860" w:rsidRDefault="00626860" w:rsidP="00626860">
      <w:pPr>
        <w:rPr>
          <w:lang w:eastAsia="en-US"/>
        </w:rPr>
      </w:pPr>
    </w:p>
    <w:p w14:paraId="1BE2EDF6" w14:textId="74D15733" w:rsidR="00626860" w:rsidRDefault="00626860" w:rsidP="00626860">
      <w:pPr>
        <w:rPr>
          <w:lang w:eastAsia="en-US"/>
        </w:rPr>
      </w:pPr>
    </w:p>
    <w:p w14:paraId="1E0B45F3" w14:textId="77777777" w:rsidR="00626860" w:rsidRPr="00626860" w:rsidRDefault="00626860" w:rsidP="00626860">
      <w:pPr>
        <w:rPr>
          <w:lang w:eastAsia="en-US"/>
        </w:rPr>
      </w:pPr>
    </w:p>
    <w:p w14:paraId="5A914E6B" w14:textId="49396F90" w:rsidR="006A212D" w:rsidRPr="006A212D" w:rsidRDefault="00C012EB" w:rsidP="001340CF">
      <w:pPr>
        <w:pStyle w:val="Titre1"/>
      </w:pPr>
      <w:bookmarkStart w:id="4" w:name="_Toc526500934"/>
      <w:r>
        <w:t xml:space="preserve">Contexte </w:t>
      </w:r>
      <w:bookmarkEnd w:id="4"/>
      <w:r w:rsidR="00674045">
        <w:t>de l’</w:t>
      </w:r>
      <w:proofErr w:type="spellStart"/>
      <w:r w:rsidR="00674045">
        <w:t>operation</w:t>
      </w:r>
      <w:proofErr w:type="spellEnd"/>
    </w:p>
    <w:p w14:paraId="48D3DAAF" w14:textId="77777777" w:rsidR="0031306E" w:rsidRDefault="00E73155" w:rsidP="001340CF">
      <w:pPr>
        <w:pStyle w:val="Titre2"/>
        <w:rPr>
          <w:lang w:eastAsia="en-US"/>
        </w:rPr>
      </w:pPr>
      <w:bookmarkStart w:id="5" w:name="_Toc526500935"/>
      <w:r>
        <w:rPr>
          <w:lang w:eastAsia="en-US"/>
        </w:rPr>
        <w:t>Cadre de l’opération</w:t>
      </w:r>
    </w:p>
    <w:p w14:paraId="5C9FDA74" w14:textId="27DA3ECD" w:rsidR="00CC4AD1" w:rsidRDefault="00E73155" w:rsidP="0031306E">
      <w:pPr>
        <w:pStyle w:val="Titre2"/>
        <w:numPr>
          <w:ilvl w:val="0"/>
          <w:numId w:val="0"/>
        </w:numPr>
        <w:ind w:firstLine="576"/>
        <w:rPr>
          <w:lang w:eastAsia="en-US"/>
        </w:rPr>
      </w:pPr>
      <w:r>
        <w:rPr>
          <w:lang w:eastAsia="en-US"/>
        </w:rPr>
        <w:t xml:space="preserve"> </w:t>
      </w:r>
      <w:r w:rsidR="00C012EB">
        <w:rPr>
          <w:lang w:eastAsia="en-US"/>
        </w:rPr>
        <w:t>Présentation du maître d’Ouvrage et schéma d’organisation des acteurs</w:t>
      </w:r>
      <w:bookmarkEnd w:id="5"/>
      <w:r w:rsidR="00C012EB">
        <w:rPr>
          <w:lang w:eastAsia="en-US"/>
        </w:rPr>
        <w:t xml:space="preserve"> </w:t>
      </w:r>
    </w:p>
    <w:p w14:paraId="3492375E" w14:textId="4A6F9723" w:rsidR="001772AB" w:rsidRDefault="00C012EB" w:rsidP="00CC4AD1">
      <w:pPr>
        <w:ind w:left="709"/>
        <w:rPr>
          <w:lang w:eastAsia="en-US"/>
        </w:rPr>
      </w:pPr>
      <w:r>
        <w:rPr>
          <w:lang w:eastAsia="en-US"/>
        </w:rPr>
        <w:t>(</w:t>
      </w:r>
      <w:proofErr w:type="gramStart"/>
      <w:r>
        <w:rPr>
          <w:lang w:eastAsia="en-US"/>
        </w:rPr>
        <w:t>identification</w:t>
      </w:r>
      <w:proofErr w:type="gramEnd"/>
      <w:r>
        <w:rPr>
          <w:lang w:eastAsia="en-US"/>
        </w:rPr>
        <w:t xml:space="preserve"> des rôles et relations des intervenants)</w:t>
      </w:r>
      <w:r w:rsidR="009D30E4">
        <w:rPr>
          <w:lang w:eastAsia="en-US"/>
        </w:rPr>
        <w:t xml:space="preserve"> </w:t>
      </w:r>
    </w:p>
    <w:p w14:paraId="09FD6AF1" w14:textId="77777777" w:rsidR="00631720" w:rsidRPr="00631720" w:rsidRDefault="00631720" w:rsidP="00631720">
      <w:pPr>
        <w:rPr>
          <w:lang w:eastAsia="en-US"/>
        </w:rPr>
      </w:pPr>
    </w:p>
    <w:p w14:paraId="18923ECB" w14:textId="19B00F8E" w:rsidR="00CC4AD1" w:rsidRDefault="005A4418" w:rsidP="001340CF">
      <w:pPr>
        <w:pStyle w:val="Titre2"/>
        <w:rPr>
          <w:lang w:eastAsia="en-US"/>
        </w:rPr>
      </w:pPr>
      <w:bookmarkStart w:id="6" w:name="_Toc526500936"/>
      <w:r>
        <w:rPr>
          <w:lang w:eastAsia="en-US"/>
        </w:rPr>
        <w:t xml:space="preserve">Intégration </w:t>
      </w:r>
      <w:r w:rsidR="00EA278B">
        <w:rPr>
          <w:lang w:eastAsia="en-US"/>
        </w:rPr>
        <w:t>au te</w:t>
      </w:r>
      <w:r w:rsidR="001D7D50">
        <w:rPr>
          <w:lang w:eastAsia="en-US"/>
        </w:rPr>
        <w:t>rritoire</w:t>
      </w:r>
      <w:r w:rsidR="00C012EB">
        <w:rPr>
          <w:lang w:eastAsia="en-US"/>
        </w:rPr>
        <w:t>, historique de la situation existante</w:t>
      </w:r>
      <w:bookmarkEnd w:id="6"/>
    </w:p>
    <w:p w14:paraId="54BE69C1" w14:textId="2047031B" w:rsidR="00C012EB" w:rsidRDefault="00376C4F" w:rsidP="00CC4AD1">
      <w:pPr>
        <w:ind w:left="567"/>
        <w:rPr>
          <w:lang w:eastAsia="en-US"/>
        </w:rPr>
      </w:pPr>
      <w:r>
        <w:rPr>
          <w:lang w:eastAsia="en-US"/>
        </w:rPr>
        <w:t xml:space="preserve"> </w:t>
      </w:r>
    </w:p>
    <w:p w14:paraId="16E233E6" w14:textId="77777777" w:rsidR="00631720" w:rsidRPr="00631720" w:rsidRDefault="00631720" w:rsidP="00631720">
      <w:pPr>
        <w:rPr>
          <w:lang w:eastAsia="en-US"/>
        </w:rPr>
      </w:pPr>
    </w:p>
    <w:p w14:paraId="7E2EDBA8" w14:textId="64B17C4A" w:rsidR="00135457" w:rsidRDefault="003E6FAF" w:rsidP="001340CF">
      <w:pPr>
        <w:pStyle w:val="Titre2"/>
        <w:rPr>
          <w:lang w:eastAsia="en-US"/>
        </w:rPr>
      </w:pPr>
      <w:bookmarkStart w:id="7" w:name="_Toc526500937"/>
      <w:r>
        <w:rPr>
          <w:lang w:eastAsia="en-US"/>
        </w:rPr>
        <w:t xml:space="preserve">Description des actions et études de faisabilité </w:t>
      </w:r>
      <w:r w:rsidR="00A6361A">
        <w:rPr>
          <w:lang w:eastAsia="en-US"/>
        </w:rPr>
        <w:t xml:space="preserve">réalisées </w:t>
      </w:r>
      <w:r>
        <w:rPr>
          <w:lang w:eastAsia="en-US"/>
        </w:rPr>
        <w:t xml:space="preserve">pour le montage du projet et sur les </w:t>
      </w:r>
      <w:proofErr w:type="spellStart"/>
      <w:r>
        <w:rPr>
          <w:lang w:eastAsia="en-US"/>
        </w:rPr>
        <w:t>process</w:t>
      </w:r>
      <w:proofErr w:type="spellEnd"/>
      <w:r>
        <w:rPr>
          <w:lang w:eastAsia="en-US"/>
        </w:rPr>
        <w:t xml:space="preserve"> (si nécessaire)</w:t>
      </w:r>
      <w:bookmarkEnd w:id="7"/>
    </w:p>
    <w:p w14:paraId="46C7F0AF" w14:textId="77777777" w:rsidR="00631720" w:rsidRPr="00631720" w:rsidRDefault="00631720" w:rsidP="00631720">
      <w:pPr>
        <w:rPr>
          <w:lang w:eastAsia="en-US"/>
        </w:rPr>
      </w:pPr>
    </w:p>
    <w:p w14:paraId="2B80B411" w14:textId="77777777" w:rsidR="00A6361A" w:rsidRDefault="003E6FAF" w:rsidP="001340CF">
      <w:pPr>
        <w:pStyle w:val="Titre2"/>
        <w:rPr>
          <w:lang w:eastAsia="en-US"/>
        </w:rPr>
      </w:pPr>
      <w:bookmarkStart w:id="8" w:name="_Toc526500938"/>
      <w:r>
        <w:rPr>
          <w:lang w:eastAsia="en-US"/>
        </w:rPr>
        <w:t>Démarches juridiques</w:t>
      </w:r>
      <w:bookmarkEnd w:id="8"/>
      <w:r>
        <w:rPr>
          <w:lang w:eastAsia="en-US"/>
        </w:rPr>
        <w:t xml:space="preserve"> </w:t>
      </w:r>
    </w:p>
    <w:p w14:paraId="24F8D887" w14:textId="39B0EB9D" w:rsidR="00B51C61" w:rsidRDefault="003E6FAF" w:rsidP="00A6361A">
      <w:pPr>
        <w:ind w:left="567"/>
        <w:rPr>
          <w:lang w:eastAsia="en-US"/>
        </w:rPr>
      </w:pPr>
      <w:r>
        <w:rPr>
          <w:lang w:eastAsia="en-US"/>
        </w:rPr>
        <w:t>(</w:t>
      </w:r>
      <w:proofErr w:type="gramStart"/>
      <w:r>
        <w:rPr>
          <w:lang w:eastAsia="en-US"/>
        </w:rPr>
        <w:t>état</w:t>
      </w:r>
      <w:proofErr w:type="gramEnd"/>
      <w:r>
        <w:rPr>
          <w:lang w:eastAsia="en-US"/>
        </w:rPr>
        <w:t xml:space="preserve"> d’avancement des démarches administratives pour les dossiers </w:t>
      </w:r>
      <w:r w:rsidR="009D30E4">
        <w:rPr>
          <w:lang w:eastAsia="en-US"/>
        </w:rPr>
        <w:t>nécessitant des autorisations administratives</w:t>
      </w:r>
      <w:r>
        <w:rPr>
          <w:lang w:eastAsia="en-US"/>
        </w:rPr>
        <w:t>)</w:t>
      </w:r>
    </w:p>
    <w:p w14:paraId="789CECAE" w14:textId="11252EBA" w:rsidR="006A212D" w:rsidRPr="006A212D" w:rsidRDefault="006A212D" w:rsidP="001340CF">
      <w:pPr>
        <w:ind w:firstLine="120"/>
        <w:rPr>
          <w:lang w:eastAsia="en-US"/>
        </w:rPr>
      </w:pPr>
    </w:p>
    <w:p w14:paraId="2BB9DE1A" w14:textId="3977BC55" w:rsidR="001772AB" w:rsidRDefault="001772AB" w:rsidP="00F522B3">
      <w:pPr>
        <w:jc w:val="left"/>
        <w:rPr>
          <w:rFonts w:ascii="Calibri" w:hAnsi="Calibri" w:cs="Calibri"/>
          <w:b/>
          <w:smallCaps/>
          <w:sz w:val="24"/>
          <w:szCs w:val="24"/>
        </w:rPr>
      </w:pPr>
    </w:p>
    <w:p w14:paraId="6165DA07" w14:textId="41DD1943" w:rsidR="00011508" w:rsidRPr="009C4016" w:rsidRDefault="006A212D" w:rsidP="00F522B3">
      <w:pPr>
        <w:pStyle w:val="Titre1"/>
        <w:ind w:left="284" w:hanging="284"/>
      </w:pPr>
      <w:bookmarkStart w:id="9" w:name="_Toc526500939"/>
      <w:r>
        <w:t>Objectifs attendus de l’op</w:t>
      </w:r>
      <w:r w:rsidR="0000756B">
        <w:t>é</w:t>
      </w:r>
      <w:r>
        <w:t>ration</w:t>
      </w:r>
      <w:bookmarkEnd w:id="9"/>
    </w:p>
    <w:p w14:paraId="6B274DF2" w14:textId="7AB7D484" w:rsidR="006A212D" w:rsidRDefault="006A212D" w:rsidP="00B51C61">
      <w:pPr>
        <w:rPr>
          <w:smallCaps/>
          <w:lang w:eastAsia="en-US"/>
        </w:rPr>
      </w:pPr>
    </w:p>
    <w:p w14:paraId="7960B560" w14:textId="77777777" w:rsidR="009D30E4" w:rsidRDefault="009D30E4" w:rsidP="00B51C61">
      <w:pPr>
        <w:rPr>
          <w:smallCaps/>
          <w:lang w:eastAsia="en-US"/>
        </w:rPr>
      </w:pPr>
    </w:p>
    <w:p w14:paraId="12C7C111" w14:textId="58C3AB35" w:rsidR="001D7D50" w:rsidRDefault="00A1616C" w:rsidP="00B51C61">
      <w:pPr>
        <w:pStyle w:val="Titre1"/>
        <w:ind w:left="284" w:hanging="284"/>
      </w:pPr>
      <w:bookmarkStart w:id="10" w:name="_Toc526500940"/>
      <w:r>
        <w:t>Description de l’</w:t>
      </w:r>
      <w:proofErr w:type="spellStart"/>
      <w:r>
        <w:t>operation</w:t>
      </w:r>
      <w:bookmarkEnd w:id="10"/>
      <w:proofErr w:type="spellEnd"/>
    </w:p>
    <w:p w14:paraId="120019A9" w14:textId="4D2B56EA" w:rsidR="001D7D50" w:rsidRDefault="001D7D50" w:rsidP="00B51C61">
      <w:pPr>
        <w:rPr>
          <w:lang w:eastAsia="en-US"/>
        </w:rPr>
      </w:pPr>
      <w:r>
        <w:rPr>
          <w:lang w:eastAsia="en-US"/>
        </w:rPr>
        <w:t xml:space="preserve"> </w:t>
      </w:r>
    </w:p>
    <w:p w14:paraId="12B239DC" w14:textId="77777777" w:rsidR="009D30E4" w:rsidRDefault="009D30E4" w:rsidP="00B51C61">
      <w:pPr>
        <w:rPr>
          <w:lang w:eastAsia="en-US"/>
        </w:rPr>
      </w:pPr>
    </w:p>
    <w:p w14:paraId="1A239377" w14:textId="5C4411A7" w:rsidR="00674045" w:rsidRPr="00674045" w:rsidRDefault="0054209C" w:rsidP="00674045">
      <w:pPr>
        <w:pStyle w:val="Titre1"/>
        <w:ind w:left="284" w:hanging="284"/>
      </w:pPr>
      <w:bookmarkStart w:id="11" w:name="_Toc526500941"/>
      <w:r>
        <w:t xml:space="preserve">Planning et suivi </w:t>
      </w:r>
      <w:bookmarkEnd w:id="11"/>
      <w:r w:rsidR="00674045">
        <w:t>de l’</w:t>
      </w:r>
      <w:proofErr w:type="spellStart"/>
      <w:r w:rsidR="00674045">
        <w:t>operation</w:t>
      </w:r>
      <w:proofErr w:type="spellEnd"/>
    </w:p>
    <w:p w14:paraId="010CD3FD" w14:textId="47CB5AFD" w:rsidR="0054209C" w:rsidRDefault="0054209C" w:rsidP="00B51C61">
      <w:pPr>
        <w:rPr>
          <w:lang w:eastAsia="en-US"/>
        </w:rPr>
      </w:pPr>
    </w:p>
    <w:p w14:paraId="5F6E6603" w14:textId="77777777" w:rsidR="009D30E4" w:rsidRDefault="009D30E4" w:rsidP="00B51C61">
      <w:pPr>
        <w:rPr>
          <w:lang w:eastAsia="en-US"/>
        </w:rPr>
      </w:pPr>
    </w:p>
    <w:p w14:paraId="1B1BE095" w14:textId="69ECB61A" w:rsidR="00A6361A" w:rsidRDefault="00A6361A" w:rsidP="00A6361A">
      <w:pPr>
        <w:pStyle w:val="Titre1"/>
        <w:ind w:left="284" w:hanging="284"/>
      </w:pPr>
      <w:bookmarkStart w:id="12" w:name="_Toc526500942"/>
      <w:r>
        <w:t>Pièces techniques à fournir à l’ADEME</w:t>
      </w:r>
      <w:bookmarkEnd w:id="12"/>
      <w:r w:rsidR="00FC5AA2">
        <w:t xml:space="preserve"> </w:t>
      </w:r>
      <w:r w:rsidR="00643D0A">
        <w:t>pour l’instruction de la demande d’aide</w:t>
      </w:r>
    </w:p>
    <w:p w14:paraId="7B85C770" w14:textId="1E4ECB7F" w:rsidR="001772AB" w:rsidRDefault="00643D0A" w:rsidP="0067747F">
      <w:pPr>
        <w:pStyle w:val="Titre2"/>
        <w:numPr>
          <w:ilvl w:val="0"/>
          <w:numId w:val="0"/>
        </w:numPr>
        <w:rPr>
          <w:lang w:eastAsia="en-US"/>
        </w:rPr>
      </w:pPr>
      <w:r w:rsidRPr="00643D0A">
        <w:rPr>
          <w:highlight w:val="yellow"/>
        </w:rPr>
        <w:t>A compléter avec les documents techniques nécessaires à l’instruction en fonction des besoins</w:t>
      </w:r>
    </w:p>
    <w:p w14:paraId="37A0A4FA" w14:textId="06EF8F53" w:rsidR="009D30E4" w:rsidRDefault="009D30E4" w:rsidP="009D30E4">
      <w:pPr>
        <w:rPr>
          <w:lang w:eastAsia="en-US"/>
        </w:rPr>
      </w:pPr>
    </w:p>
    <w:p w14:paraId="2F5A246B" w14:textId="77777777" w:rsidR="009D30E4" w:rsidRPr="009D30E4" w:rsidRDefault="009D30E4" w:rsidP="009D30E4">
      <w:pPr>
        <w:rPr>
          <w:lang w:eastAsia="en-US"/>
        </w:rPr>
      </w:pPr>
    </w:p>
    <w:p w14:paraId="790E441D" w14:textId="59C01553" w:rsidR="006A212D" w:rsidRDefault="006A212D" w:rsidP="00F522B3">
      <w:pPr>
        <w:pStyle w:val="Titre1"/>
        <w:ind w:left="284" w:hanging="284"/>
      </w:pPr>
      <w:bookmarkStart w:id="13" w:name="_Toc526500943"/>
      <w:r>
        <w:t>Engagements liés à la communication pris par le porteur de projet</w:t>
      </w:r>
      <w:bookmarkEnd w:id="13"/>
    </w:p>
    <w:p w14:paraId="44DAC5CC" w14:textId="3C9F95CD" w:rsidR="006A212D" w:rsidRDefault="006A212D" w:rsidP="006A212D">
      <w:pPr>
        <w:rPr>
          <w:lang w:eastAsia="en-US"/>
        </w:rPr>
      </w:pPr>
    </w:p>
    <w:p w14:paraId="242FC38A" w14:textId="21C24AC5" w:rsidR="00EF1EE4" w:rsidRDefault="00EF1EE4" w:rsidP="00EF1EE4">
      <w:pPr>
        <w:shd w:val="clear" w:color="auto" w:fill="D9D9D9" w:themeFill="background1" w:themeFillShade="D9"/>
        <w:rPr>
          <w:bCs/>
          <w:i/>
        </w:rPr>
      </w:pPr>
      <w:r w:rsidRPr="00185800">
        <w:rPr>
          <w:bCs/>
          <w:i/>
        </w:rPr>
        <w:t xml:space="preserve">Les points </w:t>
      </w:r>
      <w:r w:rsidR="00643D0A">
        <w:rPr>
          <w:bCs/>
          <w:i/>
        </w:rPr>
        <w:t xml:space="preserve">7 et 8 </w:t>
      </w:r>
      <w:r w:rsidRPr="00185800">
        <w:rPr>
          <w:bCs/>
          <w:i/>
        </w:rPr>
        <w:t xml:space="preserve">sont </w:t>
      </w:r>
      <w:r w:rsidR="00643D0A">
        <w:rPr>
          <w:bCs/>
          <w:i/>
        </w:rPr>
        <w:t>pour information. A</w:t>
      </w:r>
      <w:r w:rsidRPr="00185800">
        <w:rPr>
          <w:bCs/>
          <w:i/>
        </w:rPr>
        <w:t xml:space="preserve"> laisser en l’état par le porteur de projet car il s’agit d’un engagement de sa part pour pouvoir bénéficier des aides </w:t>
      </w:r>
      <w:r w:rsidR="007C4332">
        <w:rPr>
          <w:bCs/>
          <w:i/>
        </w:rPr>
        <w:t>publiques</w:t>
      </w:r>
      <w:r>
        <w:rPr>
          <w:bCs/>
          <w:i/>
        </w:rPr>
        <w:t>.</w:t>
      </w:r>
    </w:p>
    <w:p w14:paraId="4BB28CAD" w14:textId="77777777" w:rsidR="00EF1EE4" w:rsidRPr="00185800" w:rsidRDefault="00EF1EE4" w:rsidP="00EF1EE4">
      <w:pPr>
        <w:shd w:val="clear" w:color="auto" w:fill="D9D9D9" w:themeFill="background1" w:themeFillShade="D9"/>
        <w:rPr>
          <w:bCs/>
          <w:i/>
          <w:smallCaps/>
        </w:rPr>
      </w:pPr>
    </w:p>
    <w:p w14:paraId="15DC7D9C" w14:textId="77777777" w:rsidR="00EF1EE4" w:rsidRDefault="00EF1EE4" w:rsidP="00EF1EE4">
      <w:pPr>
        <w:autoSpaceDE w:val="0"/>
        <w:autoSpaceDN w:val="0"/>
        <w:adjustRightInd w:val="0"/>
        <w:rPr>
          <w:iCs/>
          <w:color w:val="000000"/>
        </w:rPr>
      </w:pPr>
    </w:p>
    <w:p w14:paraId="26E876DF" w14:textId="4EC95451" w:rsidR="0029256F" w:rsidRPr="006968A2" w:rsidRDefault="0029256F" w:rsidP="0029256F">
      <w:pPr>
        <w:autoSpaceDE w:val="0"/>
        <w:autoSpaceDN w:val="0"/>
        <w:adjustRightInd w:val="0"/>
        <w:rPr>
          <w:iCs/>
          <w:color w:val="000000"/>
          <w:szCs w:val="22"/>
        </w:rPr>
      </w:pPr>
      <w:r w:rsidRPr="006968A2">
        <w:rPr>
          <w:iCs/>
          <w:color w:val="000000"/>
          <w:szCs w:val="22"/>
        </w:rPr>
        <w:t>Le bén</w:t>
      </w:r>
      <w:r w:rsidR="007C4332">
        <w:rPr>
          <w:iCs/>
          <w:color w:val="000000"/>
          <w:szCs w:val="22"/>
        </w:rPr>
        <w:t>éficiaire s’engage à garantir les financeurs publics</w:t>
      </w:r>
      <w:r w:rsidRPr="006968A2">
        <w:rPr>
          <w:iCs/>
          <w:color w:val="000000"/>
          <w:szCs w:val="22"/>
        </w:rPr>
        <w:t xml:space="preserve"> dans la réutilisation des documents et toute autre information et supports soumis aux droits d’auteur, qu’il a fait son affaire </w:t>
      </w:r>
      <w:r w:rsidRPr="006968A2">
        <w:rPr>
          <w:iCs/>
          <w:color w:val="000000"/>
          <w:szCs w:val="22"/>
        </w:rPr>
        <w:lastRenderedPageBreak/>
        <w:t>personnelle auprès du ou des auteurs titulaires des droits de propriété intellectuelle et/ou des droits à l’image sur leur propre création, de</w:t>
      </w:r>
      <w:r>
        <w:rPr>
          <w:iCs/>
          <w:color w:val="000000"/>
          <w:szCs w:val="22"/>
        </w:rPr>
        <w:t>s autorisation</w:t>
      </w:r>
      <w:r w:rsidR="00DB000D">
        <w:rPr>
          <w:iCs/>
          <w:color w:val="000000"/>
          <w:szCs w:val="22"/>
        </w:rPr>
        <w:t>s</w:t>
      </w:r>
      <w:r>
        <w:rPr>
          <w:iCs/>
          <w:color w:val="000000"/>
          <w:szCs w:val="22"/>
        </w:rPr>
        <w:t xml:space="preserve"> de réutilisation</w:t>
      </w:r>
      <w:r w:rsidRPr="006968A2">
        <w:rPr>
          <w:iCs/>
          <w:color w:val="000000"/>
          <w:szCs w:val="22"/>
        </w:rPr>
        <w:t xml:space="preserve"> requises.</w:t>
      </w:r>
    </w:p>
    <w:p w14:paraId="3F250DB9" w14:textId="77777777" w:rsidR="0029256F" w:rsidRPr="006968A2" w:rsidRDefault="0029256F" w:rsidP="0029256F">
      <w:pPr>
        <w:rPr>
          <w:szCs w:val="22"/>
        </w:rPr>
      </w:pPr>
      <w:r w:rsidRPr="006968A2">
        <w:rPr>
          <w:iCs/>
          <w:color w:val="000000"/>
          <w:szCs w:val="22"/>
        </w:rPr>
        <w:tab/>
      </w:r>
    </w:p>
    <w:p w14:paraId="0B8C3B57" w14:textId="7BC72724" w:rsidR="0029256F" w:rsidRPr="007C4332" w:rsidRDefault="0029256F" w:rsidP="0029256F">
      <w:pPr>
        <w:rPr>
          <w:b/>
          <w:bCs/>
          <w:color w:val="FF0000"/>
          <w:szCs w:val="22"/>
        </w:rPr>
      </w:pPr>
      <w:bookmarkStart w:id="14" w:name="_GoBack"/>
      <w:r w:rsidRPr="007C4332">
        <w:rPr>
          <w:b/>
          <w:bCs/>
          <w:color w:val="FF0000"/>
          <w:szCs w:val="22"/>
        </w:rPr>
        <w:t xml:space="preserve">Conformément à l’article 2 des règles générales d’’attribution des aides de l’ADEME, le bénéficiaire s’engage </w:t>
      </w:r>
      <w:r w:rsidRPr="007C4332">
        <w:rPr>
          <w:rFonts w:eastAsia="MS Mincho"/>
          <w:color w:val="FF0000"/>
          <w:szCs w:val="22"/>
          <w:lang w:eastAsia="ja-JP"/>
        </w:rPr>
        <w:t>à associer l’ADEME lors de la mise au point d’actions de communication et d’information du public (inauguration de l’installation,</w:t>
      </w:r>
      <w:r w:rsidR="007C4332" w:rsidRPr="007C4332">
        <w:rPr>
          <w:rFonts w:eastAsia="MS Mincho"/>
          <w:color w:val="FF0000"/>
          <w:szCs w:val="22"/>
          <w:lang w:eastAsia="ja-JP"/>
        </w:rPr>
        <w:t xml:space="preserve"> </w:t>
      </w:r>
      <w:r w:rsidRPr="007C4332">
        <w:rPr>
          <w:rFonts w:eastAsia="MS Mincho"/>
          <w:color w:val="FF0000"/>
          <w:szCs w:val="22"/>
          <w:lang w:eastAsia="ja-JP"/>
        </w:rPr>
        <w:t xml:space="preserve">…) et à mentionner dans tous les supports de communication l’ADEME comme partenaire en apposant </w:t>
      </w:r>
      <w:r w:rsidRPr="007C4332">
        <w:rPr>
          <w:b/>
          <w:bCs/>
          <w:color w:val="FF0000"/>
          <w:szCs w:val="22"/>
        </w:rPr>
        <w:t>sur chaque support de communication produit le logo de l'ADEME ou la mention</w:t>
      </w:r>
      <w:r w:rsidRPr="007C4332">
        <w:rPr>
          <w:b/>
          <w:bCs/>
          <w:iCs/>
          <w:color w:val="FF0000"/>
          <w:szCs w:val="22"/>
        </w:rPr>
        <w:t xml:space="preserve"> : opération réalisée avec le soutien financier de l'ADEME.</w:t>
      </w:r>
      <w:r w:rsidRPr="007C4332">
        <w:rPr>
          <w:b/>
          <w:bCs/>
          <w:color w:val="FF0000"/>
          <w:szCs w:val="22"/>
        </w:rPr>
        <w:t xml:space="preserve"> Il fournira à l'ADEME les versions finalisées des supports avant leur réalisation, afin d'obtenir l'accord de l'ADEME au préalable.</w:t>
      </w:r>
    </w:p>
    <w:p w14:paraId="1DCD36E0" w14:textId="77777777" w:rsidR="0029256F" w:rsidRPr="007C4332" w:rsidRDefault="0029256F" w:rsidP="0029256F">
      <w:pPr>
        <w:spacing w:after="60"/>
        <w:rPr>
          <w:color w:val="FF0000"/>
          <w:kern w:val="0"/>
          <w:szCs w:val="22"/>
        </w:rPr>
      </w:pPr>
    </w:p>
    <w:p w14:paraId="64BEE0AD" w14:textId="77777777" w:rsidR="0029256F" w:rsidRPr="007C4332" w:rsidRDefault="0029256F" w:rsidP="0029256F">
      <w:pPr>
        <w:spacing w:after="60"/>
        <w:rPr>
          <w:b/>
          <w:bCs/>
          <w:color w:val="FF0000"/>
          <w:kern w:val="0"/>
          <w:szCs w:val="22"/>
        </w:rPr>
      </w:pPr>
      <w:r w:rsidRPr="007C4332">
        <w:rPr>
          <w:color w:val="FF0000"/>
          <w:kern w:val="0"/>
          <w:szCs w:val="22"/>
        </w:rPr>
        <w:t xml:space="preserve">Pour les investissements, le bénéficiaire </w:t>
      </w:r>
      <w:r w:rsidRPr="007C4332">
        <w:rPr>
          <w:rFonts w:eastAsia="MS Mincho"/>
          <w:color w:val="FF0000"/>
          <w:kern w:val="0"/>
          <w:szCs w:val="22"/>
          <w:lang w:eastAsia="ja-JP"/>
        </w:rPr>
        <w:t>s’engage à poser un panneau sur le site de réalisation de l’opération, portant le logo de l’ADEME et mentionnant son soutien financier.</w:t>
      </w:r>
    </w:p>
    <w:bookmarkEnd w:id="14"/>
    <w:p w14:paraId="05AAFA7B" w14:textId="77777777" w:rsidR="00EF1EE4" w:rsidRDefault="00EF1EE4" w:rsidP="006A212D">
      <w:pPr>
        <w:rPr>
          <w:lang w:eastAsia="en-US"/>
        </w:rPr>
      </w:pPr>
    </w:p>
    <w:p w14:paraId="4F0511A5" w14:textId="09A96599" w:rsidR="00EF1EE4" w:rsidRDefault="0067747F" w:rsidP="00684BEE">
      <w:pPr>
        <w:pStyle w:val="Titre1"/>
        <w:ind w:left="284" w:hanging="284"/>
      </w:pPr>
      <w:bookmarkStart w:id="15" w:name="_Toc526500944"/>
      <w:r>
        <w:t>Rapports</w:t>
      </w:r>
      <w:r w:rsidR="00EF1EE4">
        <w:t xml:space="preserve"> à remettre </w:t>
      </w:r>
      <w:bookmarkEnd w:id="15"/>
      <w:r w:rsidR="007C4332">
        <w:t>aux financeurs</w:t>
      </w:r>
      <w:r w:rsidR="00643D0A">
        <w:t xml:space="preserve"> après réception du contrat</w:t>
      </w:r>
    </w:p>
    <w:p w14:paraId="4D877E74" w14:textId="25DB4F11" w:rsidR="00B51C61" w:rsidRDefault="00B51C61" w:rsidP="00B51C61">
      <w:pPr>
        <w:shd w:val="clear" w:color="auto" w:fill="D9D9D9" w:themeFill="background1" w:themeFillShade="D9"/>
        <w:rPr>
          <w:bCs/>
          <w:i/>
        </w:rPr>
      </w:pPr>
      <w:r w:rsidRPr="00185800">
        <w:rPr>
          <w:bCs/>
          <w:i/>
        </w:rPr>
        <w:t xml:space="preserve">Les points suivants sont à laisser en l’état par le porteur de projet car il s’agit d’un engagement de sa part pour pouvoir bénéficier des aides </w:t>
      </w:r>
      <w:r w:rsidR="007C4332">
        <w:rPr>
          <w:bCs/>
          <w:i/>
        </w:rPr>
        <w:t>publiques</w:t>
      </w:r>
      <w:r>
        <w:rPr>
          <w:bCs/>
          <w:i/>
        </w:rPr>
        <w:t>.</w:t>
      </w:r>
    </w:p>
    <w:p w14:paraId="620AFE3B" w14:textId="77777777" w:rsidR="00B51C61" w:rsidRPr="00185800" w:rsidRDefault="00B51C61" w:rsidP="00B51C61">
      <w:pPr>
        <w:shd w:val="clear" w:color="auto" w:fill="D9D9D9" w:themeFill="background1" w:themeFillShade="D9"/>
        <w:rPr>
          <w:bCs/>
          <w:i/>
          <w:smallCaps/>
        </w:rPr>
      </w:pPr>
    </w:p>
    <w:p w14:paraId="5AC81252" w14:textId="77777777" w:rsidR="00B51C61" w:rsidRDefault="00B51C61" w:rsidP="00B51C61">
      <w:pPr>
        <w:autoSpaceDE w:val="0"/>
        <w:autoSpaceDN w:val="0"/>
        <w:adjustRightInd w:val="0"/>
        <w:rPr>
          <w:iCs/>
          <w:color w:val="000000"/>
        </w:rPr>
      </w:pPr>
    </w:p>
    <w:p w14:paraId="15E10F0A" w14:textId="42829ADD" w:rsidR="00643D0A" w:rsidRDefault="0029256F" w:rsidP="00643D0A">
      <w:pPr>
        <w:tabs>
          <w:tab w:val="right" w:leader="dot" w:pos="10206"/>
        </w:tabs>
        <w:rPr>
          <w:rFonts w:eastAsia="Calibri"/>
          <w:szCs w:val="22"/>
        </w:rPr>
      </w:pPr>
      <w:r w:rsidRPr="0029256F">
        <w:rPr>
          <w:rFonts w:eastAsia="Calibri"/>
          <w:szCs w:val="22"/>
        </w:rPr>
        <w:t xml:space="preserve">Le bénéficiaire remettra les documents suivants : </w:t>
      </w:r>
    </w:p>
    <w:p w14:paraId="2546150C" w14:textId="26A7BF9A" w:rsidR="000E2B9D" w:rsidRPr="0029256F" w:rsidRDefault="000E2B9D" w:rsidP="0029256F">
      <w:pPr>
        <w:jc w:val="left"/>
        <w:rPr>
          <w:rFonts w:eastAsia="Calibri"/>
          <w:szCs w:val="22"/>
        </w:rPr>
      </w:pPr>
      <w:r>
        <w:rPr>
          <w:rFonts w:eastAsia="Calibri"/>
          <w:szCs w:val="22"/>
        </w:rPr>
        <w:t xml:space="preserve"> </w:t>
      </w:r>
    </w:p>
    <w:p w14:paraId="2E24531B" w14:textId="6B68E47C" w:rsidR="0029256F" w:rsidRDefault="0029256F" w:rsidP="0029256F">
      <w:pPr>
        <w:jc w:val="left"/>
        <w:rPr>
          <w:szCs w:val="22"/>
        </w:rPr>
      </w:pPr>
      <w:r w:rsidRPr="0029256F">
        <w:rPr>
          <w:szCs w:val="22"/>
        </w:rPr>
        <w:t xml:space="preserve">□ </w:t>
      </w:r>
      <w:r w:rsidR="006F397B">
        <w:rPr>
          <w:szCs w:val="22"/>
        </w:rPr>
        <w:t xml:space="preserve">le cas échéant, </w:t>
      </w:r>
      <w:r w:rsidRPr="0029256F">
        <w:rPr>
          <w:szCs w:val="22"/>
        </w:rPr>
        <w:t>un ou plusieurs rapports d’avancement de l’opération le cas échéant</w:t>
      </w:r>
      <w:r w:rsidR="000247FF">
        <w:rPr>
          <w:szCs w:val="22"/>
        </w:rPr>
        <w:t> ;</w:t>
      </w:r>
    </w:p>
    <w:p w14:paraId="65D3AD31" w14:textId="77777777" w:rsidR="000247FF" w:rsidRPr="0029256F" w:rsidRDefault="000247FF" w:rsidP="0029256F">
      <w:pPr>
        <w:jc w:val="left"/>
        <w:rPr>
          <w:szCs w:val="22"/>
        </w:rPr>
      </w:pPr>
    </w:p>
    <w:p w14:paraId="2A62B478" w14:textId="26268A0C" w:rsidR="0029256F" w:rsidRPr="00405F98" w:rsidRDefault="0029256F" w:rsidP="0029256F">
      <w:pPr>
        <w:jc w:val="left"/>
        <w:rPr>
          <w:szCs w:val="22"/>
        </w:rPr>
      </w:pPr>
      <w:r w:rsidRPr="0029256F">
        <w:rPr>
          <w:szCs w:val="22"/>
        </w:rPr>
        <w:t xml:space="preserve">□ un rapport final définitif de l’opération </w:t>
      </w:r>
    </w:p>
    <w:p w14:paraId="03FAEB3C" w14:textId="7BF9D207" w:rsidR="006F397B" w:rsidRDefault="006F397B" w:rsidP="000247FF">
      <w:pPr>
        <w:ind w:left="708"/>
        <w:rPr>
          <w:i/>
          <w:iCs/>
        </w:rPr>
      </w:pPr>
      <w:r>
        <w:rPr>
          <w:i/>
          <w:iCs/>
        </w:rP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w:t>
      </w:r>
      <w:r w:rsidR="000247FF">
        <w:rPr>
          <w:i/>
          <w:iCs/>
        </w:rPr>
        <w:t> ;</w:t>
      </w:r>
    </w:p>
    <w:p w14:paraId="10E8F0C9" w14:textId="77777777" w:rsidR="000247FF" w:rsidRDefault="000247FF" w:rsidP="000247FF">
      <w:pPr>
        <w:ind w:left="708"/>
        <w:rPr>
          <w:i/>
          <w:iCs/>
        </w:rPr>
      </w:pPr>
    </w:p>
    <w:p w14:paraId="613E4264" w14:textId="6F7AF378" w:rsidR="006F397B" w:rsidRPr="000247FF" w:rsidRDefault="006F397B" w:rsidP="006F397B">
      <w:pPr>
        <w:rPr>
          <w:bCs/>
          <w:iCs/>
        </w:rPr>
      </w:pPr>
      <w:r w:rsidRPr="000247FF">
        <w:rPr>
          <w:szCs w:val="22"/>
        </w:rPr>
        <w:t>□</w:t>
      </w:r>
      <w:r w:rsidRPr="000247FF">
        <w:rPr>
          <w:bCs/>
          <w:iCs/>
        </w:rPr>
        <w:t xml:space="preserve"> tout autre doc</w:t>
      </w:r>
      <w:r w:rsidR="007C4332">
        <w:rPr>
          <w:bCs/>
          <w:iCs/>
        </w:rPr>
        <w:t>ument laissé à l’appréciation du service instructeur</w:t>
      </w:r>
      <w:r w:rsidRPr="000247FF">
        <w:rPr>
          <w:bCs/>
          <w:iCs/>
        </w:rPr>
        <w:t>.</w:t>
      </w:r>
    </w:p>
    <w:p w14:paraId="20611847" w14:textId="27993E84" w:rsidR="0029256F" w:rsidRPr="0029256F" w:rsidRDefault="0029256F" w:rsidP="000E2B9D">
      <w:pPr>
        <w:jc w:val="left"/>
        <w:rPr>
          <w:rFonts w:eastAsia="Calibri"/>
          <w:szCs w:val="22"/>
        </w:rPr>
      </w:pPr>
    </w:p>
    <w:p w14:paraId="2B8E955F" w14:textId="1A8D78A0" w:rsidR="0029256F" w:rsidRDefault="00405F98" w:rsidP="00405F98">
      <w:pPr>
        <w:jc w:val="left"/>
        <w:rPr>
          <w:szCs w:val="22"/>
        </w:rPr>
      </w:pPr>
      <w:r w:rsidRPr="0029256F">
        <w:rPr>
          <w:i/>
          <w:szCs w:val="22"/>
        </w:rPr>
        <w:t xml:space="preserve">Ces rapports seront transmis sous format électronique </w:t>
      </w:r>
    </w:p>
    <w:p w14:paraId="0299A65E" w14:textId="5CAA50B0" w:rsidR="00405F98" w:rsidRDefault="00405F98" w:rsidP="0029256F">
      <w:pPr>
        <w:jc w:val="left"/>
        <w:rPr>
          <w:szCs w:val="22"/>
        </w:rPr>
      </w:pPr>
    </w:p>
    <w:p w14:paraId="7BABFD0C" w14:textId="77777777" w:rsidR="006F397B" w:rsidRDefault="006F397B" w:rsidP="006F397B">
      <w:pPr>
        <w:rPr>
          <w:rFonts w:ascii="Calibri" w:hAnsi="Calibri" w:cs="Calibri"/>
          <w:lang w:eastAsia="en-US"/>
        </w:rPr>
      </w:pPr>
    </w:p>
    <w:p w14:paraId="0CE64955" w14:textId="77777777" w:rsidR="006F397B" w:rsidRPr="00184EDB" w:rsidRDefault="006F397B" w:rsidP="0029256F">
      <w:pPr>
        <w:jc w:val="left"/>
        <w:rPr>
          <w:szCs w:val="22"/>
        </w:rPr>
      </w:pPr>
    </w:p>
    <w:p w14:paraId="0248260F" w14:textId="77777777" w:rsidR="001D7D50" w:rsidRDefault="001D7D50" w:rsidP="00011508">
      <w:pPr>
        <w:ind w:left="993"/>
        <w:jc w:val="left"/>
        <w:rPr>
          <w:rFonts w:ascii="Calibri" w:hAnsi="Calibri" w:cs="Calibri"/>
          <w:smallCaps/>
          <w:sz w:val="24"/>
          <w:szCs w:val="24"/>
        </w:rPr>
      </w:pPr>
    </w:p>
    <w:p w14:paraId="34747866" w14:textId="630C0DDE" w:rsidR="00631720" w:rsidRDefault="00631720" w:rsidP="004E0551">
      <w:pPr>
        <w:jc w:val="left"/>
        <w:rPr>
          <w:rFonts w:ascii="Calibri" w:hAnsi="Calibri" w:cs="Calibri"/>
          <w:sz w:val="24"/>
          <w:szCs w:val="24"/>
        </w:rPr>
      </w:pPr>
    </w:p>
    <w:p w14:paraId="74C2BEC1" w14:textId="77777777" w:rsidR="00910DAD" w:rsidRDefault="00910DAD" w:rsidP="00631720">
      <w:pPr>
        <w:pStyle w:val="Paragraphedeliste"/>
        <w:ind w:left="567"/>
        <w:jc w:val="left"/>
        <w:rPr>
          <w:rFonts w:ascii="Calibri" w:hAnsi="Calibri" w:cs="Calibri"/>
          <w:sz w:val="24"/>
          <w:szCs w:val="24"/>
        </w:rPr>
      </w:pPr>
    </w:p>
    <w:sectPr w:rsidR="00910DAD" w:rsidSect="007C4332">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6E9B" w14:textId="77777777" w:rsidR="00B61890" w:rsidRDefault="00B61890" w:rsidP="00011508">
      <w:r>
        <w:separator/>
      </w:r>
    </w:p>
  </w:endnote>
  <w:endnote w:type="continuationSeparator" w:id="0">
    <w:p w14:paraId="5568530E" w14:textId="77777777" w:rsidR="00B61890" w:rsidRDefault="00B61890"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51B8" w14:textId="2A3CD3B2" w:rsidR="00B61890" w:rsidRDefault="00B61890">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7C4332">
      <w:rPr>
        <w:rStyle w:val="Numrodepage"/>
        <w:noProof/>
        <w:sz w:val="16"/>
        <w:szCs w:val="16"/>
      </w:rPr>
      <w:t>1</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7C4332">
      <w:rPr>
        <w:rStyle w:val="Numrodepage"/>
        <w:noProof/>
        <w:sz w:val="16"/>
        <w:szCs w:val="16"/>
      </w:rPr>
      <w:t>3</w:t>
    </w:r>
    <w:r w:rsidRPr="009C1790">
      <w:rPr>
        <w:rStyle w:val="Numrodepage"/>
        <w:sz w:val="16"/>
        <w:szCs w:val="16"/>
      </w:rPr>
      <w:fldChar w:fldCharType="end"/>
    </w:r>
  </w:p>
  <w:p w14:paraId="2F322566" w14:textId="77777777" w:rsidR="00B61890" w:rsidRDefault="00B618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F688" w14:textId="77777777" w:rsidR="00B61890" w:rsidRDefault="00B61890" w:rsidP="00011508">
      <w:r>
        <w:separator/>
      </w:r>
    </w:p>
  </w:footnote>
  <w:footnote w:type="continuationSeparator" w:id="0">
    <w:p w14:paraId="2C1B7D36" w14:textId="77777777" w:rsidR="00B61890" w:rsidRDefault="00B61890" w:rsidP="0001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8F234B"/>
    <w:multiLevelType w:val="hybridMultilevel"/>
    <w:tmpl w:val="3308110A"/>
    <w:lvl w:ilvl="0" w:tplc="C81EA0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07AC2"/>
    <w:multiLevelType w:val="hybridMultilevel"/>
    <w:tmpl w:val="3308110A"/>
    <w:lvl w:ilvl="0" w:tplc="C81EA0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595E10"/>
    <w:multiLevelType w:val="multilevel"/>
    <w:tmpl w:val="6A40B12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E7818"/>
    <w:multiLevelType w:val="multilevel"/>
    <w:tmpl w:val="02F60C5E"/>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7" w15:restartNumberingAfterBreak="0">
    <w:nsid w:val="2F2140CD"/>
    <w:multiLevelType w:val="multilevel"/>
    <w:tmpl w:val="6A40B12E"/>
    <w:lvl w:ilvl="0">
      <w:start w:val="1"/>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C544B7"/>
    <w:multiLevelType w:val="hybridMultilevel"/>
    <w:tmpl w:val="AB9AA8D2"/>
    <w:lvl w:ilvl="0" w:tplc="AC409CDC">
      <w:start w:val="1"/>
      <w:numFmt w:val="decimal"/>
      <w:lvlText w:val="%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55F4E00"/>
    <w:multiLevelType w:val="hybridMultilevel"/>
    <w:tmpl w:val="0DC6C75E"/>
    <w:lvl w:ilvl="0" w:tplc="BD9811B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6FC1E2F"/>
    <w:multiLevelType w:val="multilevel"/>
    <w:tmpl w:val="2B163A84"/>
    <w:lvl w:ilvl="0">
      <w:start w:val="2"/>
      <w:numFmt w:val="decimal"/>
      <w:lvlText w:val="%1"/>
      <w:lvlJc w:val="left"/>
      <w:pPr>
        <w:ind w:left="360" w:hanging="360"/>
      </w:pPr>
    </w:lvl>
    <w:lvl w:ilvl="1">
      <w:numFmt w:val="bullet"/>
      <w:lvlText w:val="-"/>
      <w:lvlJc w:val="left"/>
      <w:pPr>
        <w:ind w:left="720" w:hanging="720"/>
      </w:pPr>
      <w:rPr>
        <w:rFonts w:ascii="Times New Roman" w:eastAsia="Times New Roman" w:hAnsi="Times New Roman" w:cs="Times New Roman" w:hint="default"/>
        <w:b/>
        <w:i w:val="0"/>
        <w:color w:val="auto"/>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3BB72AFB"/>
    <w:multiLevelType w:val="hybridMultilevel"/>
    <w:tmpl w:val="2D5EC374"/>
    <w:lvl w:ilvl="0" w:tplc="14CE773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C063C6E"/>
    <w:multiLevelType w:val="multilevel"/>
    <w:tmpl w:val="C8FE766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4429C2"/>
    <w:multiLevelType w:val="multilevel"/>
    <w:tmpl w:val="6C2E92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9A395B"/>
    <w:multiLevelType w:val="multilevel"/>
    <w:tmpl w:val="040C0025"/>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6A24F51"/>
    <w:multiLevelType w:val="multilevel"/>
    <w:tmpl w:val="2BE0AB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83FB0"/>
    <w:multiLevelType w:val="multilevel"/>
    <w:tmpl w:val="2BE0AB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211BC8"/>
    <w:multiLevelType w:val="hybridMultilevel"/>
    <w:tmpl w:val="F58E0DEC"/>
    <w:lvl w:ilvl="0" w:tplc="040C0003">
      <w:start w:val="1"/>
      <w:numFmt w:val="bullet"/>
      <w:lvlText w:val="o"/>
      <w:lvlJc w:val="left"/>
      <w:pPr>
        <w:ind w:left="2847" w:hanging="360"/>
      </w:pPr>
      <w:rPr>
        <w:rFonts w:ascii="Courier New" w:hAnsi="Courier New" w:cs="Courier New"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8" w15:restartNumberingAfterBreak="0">
    <w:nsid w:val="5A1052EC"/>
    <w:multiLevelType w:val="multilevel"/>
    <w:tmpl w:val="6A40B12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276FCF"/>
    <w:multiLevelType w:val="multilevel"/>
    <w:tmpl w:val="6C08FF7C"/>
    <w:lvl w:ilvl="0">
      <w:start w:val="3"/>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57B3E76"/>
    <w:multiLevelType w:val="multilevel"/>
    <w:tmpl w:val="F3BCFC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9236F4"/>
    <w:multiLevelType w:val="multilevel"/>
    <w:tmpl w:val="C8C488F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AF974A4"/>
    <w:multiLevelType w:val="multilevel"/>
    <w:tmpl w:val="B09E448E"/>
    <w:lvl w:ilvl="0">
      <w:start w:val="2"/>
      <w:numFmt w:val="decimal"/>
      <w:lvlText w:val="%1"/>
      <w:lvlJc w:val="left"/>
      <w:pPr>
        <w:ind w:left="360" w:hanging="360"/>
      </w:pPr>
    </w:lvl>
    <w:lvl w:ilvl="1">
      <w:start w:val="1"/>
      <w:numFmt w:val="decimal"/>
      <w:lvlText w:val="%1.%2"/>
      <w:lvlJc w:val="left"/>
      <w:pPr>
        <w:ind w:left="720" w:hanging="720"/>
      </w:pPr>
      <w:rPr>
        <w:b/>
        <w:i w:val="0"/>
        <w:color w:val="auto"/>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15:restartNumberingAfterBreak="0">
    <w:nsid w:val="7FA2342F"/>
    <w:multiLevelType w:val="hybridMultilevel"/>
    <w:tmpl w:val="C1A2EDB4"/>
    <w:lvl w:ilvl="0" w:tplc="14CE773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3"/>
  </w:num>
  <w:num w:numId="4">
    <w:abstractNumId w:val="1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num>
  <w:num w:numId="16">
    <w:abstractNumId w:val="1"/>
    <w:lvlOverride w:ilvl="0">
      <w:startOverride w:val="1"/>
    </w:lvlOverride>
  </w:num>
  <w:num w:numId="17">
    <w:abstractNumId w:val="3"/>
  </w:num>
  <w:num w:numId="18">
    <w:abstractNumId w:val="2"/>
  </w:num>
  <w:num w:numId="19">
    <w:abstractNumId w:val="1"/>
  </w:num>
  <w:num w:numId="20">
    <w:abstractNumId w:val="1"/>
    <w:lvlOverride w:ilvl="0">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6"/>
  </w:num>
  <w:num w:numId="29">
    <w:abstractNumId w:val="16"/>
  </w:num>
  <w:num w:numId="30">
    <w:abstractNumId w:val="15"/>
  </w:num>
  <w:num w:numId="31">
    <w:abstractNumId w:val="7"/>
  </w:num>
  <w:num w:numId="32">
    <w:abstractNumId w:val="8"/>
  </w:num>
  <w:num w:numId="33">
    <w:abstractNumId w:val="4"/>
  </w:num>
  <w:num w:numId="34">
    <w:abstractNumId w:val="18"/>
  </w:num>
  <w:num w:numId="35">
    <w:abstractNumId w:val="20"/>
  </w:num>
  <w:num w:numId="36">
    <w:abstractNumId w:val="13"/>
  </w:num>
  <w:num w:numId="37">
    <w:abstractNumId w:val="5"/>
  </w:num>
  <w:num w:numId="38">
    <w:abstractNumId w:val="21"/>
  </w:num>
  <w:num w:numId="39">
    <w:abstractNumId w:val="12"/>
  </w:num>
  <w:num w:numId="40">
    <w:abstractNumId w:val="19"/>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0756B"/>
    <w:rsid w:val="00011457"/>
    <w:rsid w:val="00011508"/>
    <w:rsid w:val="000247FF"/>
    <w:rsid w:val="00035C1B"/>
    <w:rsid w:val="00046AD4"/>
    <w:rsid w:val="000C36CD"/>
    <w:rsid w:val="000D7573"/>
    <w:rsid w:val="000E2B9D"/>
    <w:rsid w:val="000E775B"/>
    <w:rsid w:val="0010073C"/>
    <w:rsid w:val="00123989"/>
    <w:rsid w:val="00125C59"/>
    <w:rsid w:val="001340CF"/>
    <w:rsid w:val="00135457"/>
    <w:rsid w:val="0016060F"/>
    <w:rsid w:val="001772AB"/>
    <w:rsid w:val="001D0B1C"/>
    <w:rsid w:val="001D7D50"/>
    <w:rsid w:val="00201AE9"/>
    <w:rsid w:val="002043A9"/>
    <w:rsid w:val="00216623"/>
    <w:rsid w:val="00263119"/>
    <w:rsid w:val="0029256F"/>
    <w:rsid w:val="002A7F40"/>
    <w:rsid w:val="002B5035"/>
    <w:rsid w:val="002D108B"/>
    <w:rsid w:val="002D4E20"/>
    <w:rsid w:val="002E2579"/>
    <w:rsid w:val="002F5AFD"/>
    <w:rsid w:val="0031306E"/>
    <w:rsid w:val="003508F7"/>
    <w:rsid w:val="00371BBA"/>
    <w:rsid w:val="00376C4F"/>
    <w:rsid w:val="003C18ED"/>
    <w:rsid w:val="003E6FAF"/>
    <w:rsid w:val="003E6FBD"/>
    <w:rsid w:val="00405F98"/>
    <w:rsid w:val="00432EEF"/>
    <w:rsid w:val="0045078A"/>
    <w:rsid w:val="004E0551"/>
    <w:rsid w:val="0054209C"/>
    <w:rsid w:val="00547408"/>
    <w:rsid w:val="005520AA"/>
    <w:rsid w:val="00561289"/>
    <w:rsid w:val="00571F59"/>
    <w:rsid w:val="005A0424"/>
    <w:rsid w:val="005A4418"/>
    <w:rsid w:val="005A7578"/>
    <w:rsid w:val="005C1154"/>
    <w:rsid w:val="005C2471"/>
    <w:rsid w:val="005C576D"/>
    <w:rsid w:val="005C70EE"/>
    <w:rsid w:val="005E0076"/>
    <w:rsid w:val="005E288E"/>
    <w:rsid w:val="00620B91"/>
    <w:rsid w:val="00624055"/>
    <w:rsid w:val="00626860"/>
    <w:rsid w:val="00631720"/>
    <w:rsid w:val="00643D0A"/>
    <w:rsid w:val="00657BBE"/>
    <w:rsid w:val="00674045"/>
    <w:rsid w:val="0067747F"/>
    <w:rsid w:val="006A212D"/>
    <w:rsid w:val="006F397B"/>
    <w:rsid w:val="006F7D08"/>
    <w:rsid w:val="007174BB"/>
    <w:rsid w:val="007569B4"/>
    <w:rsid w:val="007627DF"/>
    <w:rsid w:val="00773034"/>
    <w:rsid w:val="007C1F30"/>
    <w:rsid w:val="007C4332"/>
    <w:rsid w:val="00802663"/>
    <w:rsid w:val="00803697"/>
    <w:rsid w:val="0084163F"/>
    <w:rsid w:val="0087780B"/>
    <w:rsid w:val="00910DAD"/>
    <w:rsid w:val="009174DA"/>
    <w:rsid w:val="0098746D"/>
    <w:rsid w:val="009A764A"/>
    <w:rsid w:val="009C4016"/>
    <w:rsid w:val="009C43CE"/>
    <w:rsid w:val="009D30E4"/>
    <w:rsid w:val="00A03C33"/>
    <w:rsid w:val="00A1616C"/>
    <w:rsid w:val="00A42956"/>
    <w:rsid w:val="00A6361A"/>
    <w:rsid w:val="00A7522B"/>
    <w:rsid w:val="00AD3B9A"/>
    <w:rsid w:val="00AE7C72"/>
    <w:rsid w:val="00B14D5B"/>
    <w:rsid w:val="00B479BD"/>
    <w:rsid w:val="00B51C61"/>
    <w:rsid w:val="00B61890"/>
    <w:rsid w:val="00B65AF6"/>
    <w:rsid w:val="00B710BB"/>
    <w:rsid w:val="00BB41CE"/>
    <w:rsid w:val="00C01037"/>
    <w:rsid w:val="00C012EB"/>
    <w:rsid w:val="00C01B6F"/>
    <w:rsid w:val="00C06695"/>
    <w:rsid w:val="00C10334"/>
    <w:rsid w:val="00C115FD"/>
    <w:rsid w:val="00C67A83"/>
    <w:rsid w:val="00C71DAE"/>
    <w:rsid w:val="00CC4AD1"/>
    <w:rsid w:val="00CC65FA"/>
    <w:rsid w:val="00CC7EAA"/>
    <w:rsid w:val="00D054D3"/>
    <w:rsid w:val="00D258DD"/>
    <w:rsid w:val="00D77370"/>
    <w:rsid w:val="00D814B3"/>
    <w:rsid w:val="00D86169"/>
    <w:rsid w:val="00DA5C64"/>
    <w:rsid w:val="00DB000D"/>
    <w:rsid w:val="00DB7BA8"/>
    <w:rsid w:val="00DD3ABE"/>
    <w:rsid w:val="00E16AB0"/>
    <w:rsid w:val="00E243A3"/>
    <w:rsid w:val="00E45DCC"/>
    <w:rsid w:val="00E638B7"/>
    <w:rsid w:val="00E676CA"/>
    <w:rsid w:val="00E73155"/>
    <w:rsid w:val="00EA278B"/>
    <w:rsid w:val="00ED5E63"/>
    <w:rsid w:val="00EF1EE4"/>
    <w:rsid w:val="00EF74FD"/>
    <w:rsid w:val="00F25679"/>
    <w:rsid w:val="00F522B3"/>
    <w:rsid w:val="00F70F33"/>
    <w:rsid w:val="00FC5AA2"/>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41"/>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41"/>
      </w:numPr>
      <w:jc w:val="left"/>
      <w:outlineLvl w:val="1"/>
    </w:pPr>
  </w:style>
  <w:style w:type="paragraph" w:styleId="Titre3">
    <w:name w:val="heading 3"/>
    <w:basedOn w:val="Normal"/>
    <w:next w:val="Normal"/>
    <w:link w:val="Titre3Car"/>
    <w:uiPriority w:val="9"/>
    <w:semiHidden/>
    <w:unhideWhenUsed/>
    <w:qFormat/>
    <w:rsid w:val="001340CF"/>
    <w:pPr>
      <w:keepNext/>
      <w:keepLines/>
      <w:numPr>
        <w:ilvl w:val="2"/>
        <w:numId w:val="41"/>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unhideWhenUsed/>
    <w:rsid w:val="00011508"/>
    <w:rPr>
      <w:sz w:val="20"/>
    </w:rPr>
  </w:style>
  <w:style w:type="character" w:customStyle="1" w:styleId="CommentaireCar">
    <w:name w:val="Commentaire Car"/>
    <w:basedOn w:val="Policepardfaut"/>
    <w:link w:val="Commentaire"/>
    <w:uiPriority w:val="99"/>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semiHidden/>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2924">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451707729">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20626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7028-FCDD-45D7-93F9-9D29A06E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LECOINTE Stéphane</cp:lastModifiedBy>
  <cp:revision>3</cp:revision>
  <dcterms:created xsi:type="dcterms:W3CDTF">2019-10-28T08:52:00Z</dcterms:created>
  <dcterms:modified xsi:type="dcterms:W3CDTF">2020-04-17T08:42:00Z</dcterms:modified>
</cp:coreProperties>
</file>